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CE" w:rsidRDefault="003645CE"/>
    <w:tbl>
      <w:tblPr>
        <w:tblW w:w="5000" w:type="pct"/>
        <w:jc w:val="center"/>
        <w:tblCellSpacing w:w="0" w:type="dxa"/>
        <w:shd w:val="clear" w:color="auto" w:fill="FAFAFA"/>
        <w:tblCellMar>
          <w:left w:w="0" w:type="dxa"/>
          <w:right w:w="0" w:type="dxa"/>
        </w:tblCellMar>
        <w:tblLook w:val="04A0" w:firstRow="1" w:lastRow="0" w:firstColumn="1" w:lastColumn="0" w:noHBand="0" w:noVBand="1"/>
      </w:tblPr>
      <w:tblGrid>
        <w:gridCol w:w="9026"/>
      </w:tblGrid>
      <w:tr w:rsidR="00C97941" w:rsidTr="00C97941">
        <w:trPr>
          <w:tblCellSpacing w:w="0" w:type="dxa"/>
          <w:jc w:val="center"/>
        </w:trPr>
        <w:tc>
          <w:tcPr>
            <w:tcW w:w="0" w:type="auto"/>
            <w:shd w:val="clear" w:color="auto" w:fill="FAFAFA"/>
          </w:tcPr>
          <w:tbl>
            <w:tblPr>
              <w:tblW w:w="6486" w:type="dxa"/>
              <w:jc w:val="center"/>
              <w:tblCellSpacing w:w="0" w:type="dxa"/>
              <w:shd w:val="clear" w:color="auto" w:fill="FAFAFA"/>
              <w:tblCellMar>
                <w:left w:w="0" w:type="dxa"/>
                <w:right w:w="0" w:type="dxa"/>
              </w:tblCellMar>
              <w:tblLook w:val="04A0" w:firstRow="1" w:lastRow="0" w:firstColumn="1" w:lastColumn="0" w:noHBand="0" w:noVBand="1"/>
            </w:tblPr>
            <w:tblGrid>
              <w:gridCol w:w="6486"/>
            </w:tblGrid>
            <w:tr w:rsidR="00C97941" w:rsidTr="00C97941">
              <w:trPr>
                <w:trHeight w:val="207"/>
                <w:tblCellSpacing w:w="0" w:type="dxa"/>
                <w:jc w:val="center"/>
              </w:trPr>
              <w:tc>
                <w:tcPr>
                  <w:tcW w:w="0" w:type="auto"/>
                  <w:shd w:val="clear" w:color="auto" w:fill="FAFAFA"/>
                  <w:tcMar>
                    <w:top w:w="120" w:type="dxa"/>
                    <w:left w:w="120" w:type="dxa"/>
                    <w:bottom w:w="120" w:type="dxa"/>
                    <w:right w:w="120" w:type="dxa"/>
                  </w:tcMar>
                </w:tcPr>
                <w:p w:rsidR="00C97941" w:rsidRDefault="00C97941">
                  <w:pPr>
                    <w:rPr>
                      <w:rFonts w:eastAsia="Times New Roman"/>
                      <w:sz w:val="20"/>
                      <w:szCs w:val="20"/>
                    </w:rPr>
                  </w:pPr>
                  <w:bookmarkStart w:id="0" w:name="_GoBack"/>
                  <w:bookmarkEnd w:id="0"/>
                </w:p>
              </w:tc>
            </w:tr>
          </w:tbl>
          <w:p w:rsidR="00C97941" w:rsidRDefault="00C97941">
            <w:pPr>
              <w:jc w:val="center"/>
              <w:rPr>
                <w:sz w:val="24"/>
                <w:szCs w:val="24"/>
              </w:rPr>
            </w:pPr>
          </w:p>
          <w:tbl>
            <w:tblPr>
              <w:tblW w:w="7200" w:type="dxa"/>
              <w:jc w:val="center"/>
              <w:tblCellSpacing w:w="0" w:type="dxa"/>
              <w:tblBorders>
                <w:top w:val="single" w:sz="8" w:space="0" w:color="DDDDDD"/>
                <w:left w:val="single" w:sz="8" w:space="0" w:color="DDDDDD"/>
                <w:bottom w:val="single" w:sz="8" w:space="0" w:color="DDDDDD"/>
                <w:right w:val="single" w:sz="8" w:space="0" w:color="DDDDDD"/>
              </w:tblBorders>
              <w:shd w:val="clear" w:color="auto" w:fill="FFFFFF"/>
              <w:tblCellMar>
                <w:left w:w="0" w:type="dxa"/>
                <w:right w:w="0" w:type="dxa"/>
              </w:tblCellMar>
              <w:tblLook w:val="04A0" w:firstRow="1" w:lastRow="0" w:firstColumn="1" w:lastColumn="0" w:noHBand="0" w:noVBand="1"/>
            </w:tblPr>
            <w:tblGrid>
              <w:gridCol w:w="9000"/>
            </w:tblGrid>
            <w:tr w:rsidR="00C97941">
              <w:trPr>
                <w:tblCellSpacing w:w="0" w:type="dxa"/>
                <w:jc w:val="center"/>
              </w:trPr>
              <w:tc>
                <w:tcPr>
                  <w:tcW w:w="0" w:type="auto"/>
                  <w:tcBorders>
                    <w:top w:val="nil"/>
                    <w:left w:val="nil"/>
                    <w:bottom w:val="nil"/>
                    <w:right w:val="nil"/>
                  </w:tcBorders>
                  <w:shd w:val="clear" w:color="auto" w:fill="FFFFFF"/>
                  <w:hideMark/>
                </w:tcPr>
                <w:tbl>
                  <w:tblPr>
                    <w:tblW w:w="7200" w:type="dxa"/>
                    <w:jc w:val="center"/>
                    <w:tblCellSpacing w:w="0" w:type="dxa"/>
                    <w:shd w:val="clear" w:color="auto" w:fill="FFFFFF"/>
                    <w:tblCellMar>
                      <w:left w:w="0" w:type="dxa"/>
                      <w:right w:w="0" w:type="dxa"/>
                    </w:tblCellMar>
                    <w:tblLook w:val="04A0" w:firstRow="1" w:lastRow="0" w:firstColumn="1" w:lastColumn="0" w:noHBand="0" w:noVBand="1"/>
                  </w:tblPr>
                  <w:tblGrid>
                    <w:gridCol w:w="8980"/>
                  </w:tblGrid>
                  <w:tr w:rsidR="00C97941">
                    <w:trPr>
                      <w:tblCellSpacing w:w="0" w:type="dxa"/>
                      <w:jc w:val="center"/>
                    </w:trPr>
                    <w:tc>
                      <w:tcPr>
                        <w:tcW w:w="0" w:type="auto"/>
                        <w:shd w:val="clear" w:color="auto" w:fill="FFFFFF"/>
                        <w:vAlign w:val="center"/>
                        <w:hideMark/>
                      </w:tcPr>
                      <w:p w:rsidR="00C97941" w:rsidRDefault="00C97941">
                        <w:pPr>
                          <w:spacing w:line="510" w:lineRule="atLeast"/>
                          <w:jc w:val="center"/>
                          <w:rPr>
                            <w:rFonts w:ascii="Arial" w:hAnsi="Arial" w:cs="Arial"/>
                            <w:b/>
                            <w:bCs/>
                            <w:color w:val="202020"/>
                            <w:sz w:val="51"/>
                            <w:szCs w:val="51"/>
                          </w:rPr>
                        </w:pPr>
                        <w:r>
                          <w:rPr>
                            <w:rFonts w:ascii="Arial" w:hAnsi="Arial" w:cs="Arial"/>
                            <w:b/>
                            <w:bCs/>
                            <w:noProof/>
                            <w:color w:val="202020"/>
                            <w:sz w:val="51"/>
                            <w:szCs w:val="51"/>
                            <w:lang w:eastAsia="en-AU"/>
                          </w:rPr>
                          <w:drawing>
                            <wp:inline distT="0" distB="0" distL="0" distR="0">
                              <wp:extent cx="5713095" cy="3477895"/>
                              <wp:effectExtent l="0" t="0" r="1905" b="8255"/>
                              <wp:docPr id="5" name="Picture 5" descr="http://go.pardot.com/l/365911/2018-08-20/frl7x/365911/28797/NEITA_EDM_Banner_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pardot.com/l/365911/2018-08-20/frl7x/365911/28797/NEITA_EDM_Banner_V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3095" cy="3477895"/>
                                      </a:xfrm>
                                      <a:prstGeom prst="rect">
                                        <a:avLst/>
                                      </a:prstGeom>
                                      <a:noFill/>
                                      <a:ln>
                                        <a:noFill/>
                                      </a:ln>
                                    </pic:spPr>
                                  </pic:pic>
                                </a:graphicData>
                              </a:graphic>
                            </wp:inline>
                          </w:drawing>
                        </w:r>
                      </w:p>
                    </w:tc>
                  </w:tr>
                </w:tbl>
                <w:p w:rsidR="00C97941" w:rsidRDefault="00C97941">
                  <w:pPr>
                    <w:jc w:val="center"/>
                    <w:rPr>
                      <w:rFonts w:eastAsia="Times New Roman"/>
                      <w:sz w:val="20"/>
                      <w:szCs w:val="20"/>
                    </w:rPr>
                  </w:pPr>
                </w:p>
              </w:tc>
            </w:tr>
            <w:tr w:rsidR="00C97941">
              <w:trPr>
                <w:tblCellSpacing w:w="0" w:type="dxa"/>
                <w:jc w:val="center"/>
              </w:trPr>
              <w:tc>
                <w:tcPr>
                  <w:tcW w:w="0" w:type="auto"/>
                  <w:tcBorders>
                    <w:top w:val="nil"/>
                    <w:left w:val="nil"/>
                    <w:bottom w:val="nil"/>
                    <w:right w:val="nil"/>
                  </w:tcBorders>
                  <w:shd w:val="clear" w:color="auto" w:fill="FFFFFF"/>
                  <w:hideMark/>
                </w:tcPr>
                <w:tbl>
                  <w:tblPr>
                    <w:tblW w:w="7200" w:type="dxa"/>
                    <w:jc w:val="center"/>
                    <w:tblCellSpacing w:w="0" w:type="dxa"/>
                    <w:tblCellMar>
                      <w:left w:w="0" w:type="dxa"/>
                      <w:right w:w="0" w:type="dxa"/>
                    </w:tblCellMar>
                    <w:tblLook w:val="04A0" w:firstRow="1" w:lastRow="0" w:firstColumn="1" w:lastColumn="0" w:noHBand="0" w:noVBand="1"/>
                  </w:tblPr>
                  <w:tblGrid>
                    <w:gridCol w:w="2623"/>
                    <w:gridCol w:w="4571"/>
                    <w:gridCol w:w="6"/>
                  </w:tblGrid>
                  <w:tr w:rsidR="00C97941">
                    <w:trPr>
                      <w:tblCellSpacing w:w="0" w:type="dxa"/>
                      <w:jc w:val="center"/>
                    </w:trPr>
                    <w:tc>
                      <w:tcPr>
                        <w:tcW w:w="0" w:type="auto"/>
                        <w:gridSpan w:val="3"/>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00"/>
                        </w:tblGrid>
                        <w:tr w:rsidR="00C97941">
                          <w:trPr>
                            <w:tblCellSpacing w:w="0" w:type="dxa"/>
                          </w:trPr>
                          <w:tc>
                            <w:tcPr>
                              <w:tcW w:w="0" w:type="auto"/>
                              <w:tcMar>
                                <w:top w:w="240" w:type="dxa"/>
                                <w:left w:w="240" w:type="dxa"/>
                                <w:bottom w:w="240" w:type="dxa"/>
                                <w:right w:w="240" w:type="dxa"/>
                              </w:tcMar>
                              <w:hideMark/>
                            </w:tcPr>
                            <w:p w:rsidR="00C97941" w:rsidRDefault="00C97941">
                              <w:pPr>
                                <w:spacing w:line="315" w:lineRule="atLeast"/>
                                <w:rPr>
                                  <w:rFonts w:ascii="Arial" w:hAnsi="Arial" w:cs="Arial"/>
                                  <w:color w:val="505050"/>
                                  <w:sz w:val="21"/>
                                  <w:szCs w:val="21"/>
                                </w:rPr>
                              </w:pPr>
                              <w:r>
                                <w:rPr>
                                  <w:rStyle w:val="Strong"/>
                                  <w:rFonts w:ascii="Verdana" w:hAnsi="Verdana"/>
                                  <w:color w:val="E34B5A"/>
                                  <w:sz w:val="30"/>
                                  <w:szCs w:val="30"/>
                                </w:rPr>
                                <w:t>Do you know an excellent educator?</w:t>
                              </w:r>
                              <w:r>
                                <w:rPr>
                                  <w:rFonts w:ascii="Arial" w:hAnsi="Arial" w:cs="Arial"/>
                                  <w:color w:val="505050"/>
                                  <w:sz w:val="21"/>
                                  <w:szCs w:val="21"/>
                                </w:rPr>
                                <w:t xml:space="preserve"> </w:t>
                              </w:r>
                            </w:p>
                            <w:p w:rsidR="00C97941" w:rsidRDefault="00C97941">
                              <w:pPr>
                                <w:spacing w:line="315" w:lineRule="atLeast"/>
                                <w:rPr>
                                  <w:rFonts w:ascii="Arial" w:hAnsi="Arial" w:cs="Arial"/>
                                  <w:color w:val="505050"/>
                                  <w:sz w:val="21"/>
                                  <w:szCs w:val="21"/>
                                </w:rPr>
                              </w:pPr>
                              <w:r>
                                <w:rPr>
                                  <w:rFonts w:ascii="Arial" w:hAnsi="Arial" w:cs="Arial"/>
                                  <w:color w:val="505050"/>
                                  <w:sz w:val="21"/>
                                  <w:szCs w:val="21"/>
                                </w:rPr>
                                <w:t> </w:t>
                              </w:r>
                            </w:p>
                            <w:p w:rsidR="00C97941" w:rsidRDefault="00C97941">
                              <w:pPr>
                                <w:spacing w:line="315" w:lineRule="atLeast"/>
                                <w:rPr>
                                  <w:rFonts w:ascii="Arial" w:hAnsi="Arial" w:cs="Arial"/>
                                  <w:color w:val="505050"/>
                                  <w:sz w:val="21"/>
                                  <w:szCs w:val="21"/>
                                </w:rPr>
                              </w:pPr>
                              <w:r>
                                <w:rPr>
                                  <w:rStyle w:val="Strong"/>
                                  <w:rFonts w:ascii="Verdana" w:hAnsi="Verdana"/>
                                  <w:color w:val="505050"/>
                                </w:rPr>
                                <w:t>Nominations are now open for the 2018 National Excellence in Teaching Awards</w:t>
                              </w:r>
                            </w:p>
                          </w:tc>
                        </w:tr>
                      </w:tbl>
                      <w:p w:rsidR="00C97941" w:rsidRDefault="00C97941">
                        <w:pPr>
                          <w:rPr>
                            <w:rFonts w:eastAsia="Times New Roman"/>
                            <w:sz w:val="20"/>
                            <w:szCs w:val="20"/>
                          </w:rPr>
                        </w:pPr>
                      </w:p>
                    </w:tc>
                  </w:tr>
                  <w:tr w:rsidR="00C97941">
                    <w:trPr>
                      <w:tblCellSpacing w:w="0" w:type="dxa"/>
                      <w:jc w:val="center"/>
                    </w:trPr>
                    <w:tc>
                      <w:tcPr>
                        <w:tcW w:w="336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623"/>
                        </w:tblGrid>
                        <w:tr w:rsidR="00C97941">
                          <w:trPr>
                            <w:tblCellSpacing w:w="0" w:type="dxa"/>
                          </w:trPr>
                          <w:tc>
                            <w:tcPr>
                              <w:tcW w:w="0" w:type="auto"/>
                              <w:tcMar>
                                <w:top w:w="240" w:type="dxa"/>
                                <w:left w:w="240" w:type="dxa"/>
                                <w:bottom w:w="240" w:type="dxa"/>
                                <w:right w:w="240" w:type="dxa"/>
                              </w:tcMar>
                              <w:hideMark/>
                            </w:tcPr>
                            <w:p w:rsidR="00C97941" w:rsidRDefault="00C97941">
                              <w:pPr>
                                <w:rPr>
                                  <w:sz w:val="24"/>
                                  <w:szCs w:val="24"/>
                                </w:rPr>
                              </w:pPr>
                              <w:r>
                                <w:rPr>
                                  <w:rFonts w:ascii="Verdana" w:hAnsi="Verdana"/>
                                  <w:sz w:val="21"/>
                                  <w:szCs w:val="21"/>
                                </w:rPr>
                                <w:t>For 24 years, the National Excellence in Teaching Awards have provided communities with the opportunity to formally recognise and thank outstanding teachers and leaders working within:</w:t>
                              </w:r>
                              <w:r>
                                <w:rPr>
                                  <w:rFonts w:ascii="Verdana" w:hAnsi="Verdana"/>
                                  <w:sz w:val="21"/>
                                  <w:szCs w:val="21"/>
                                </w:rPr>
                                <w:br/>
                              </w:r>
                              <w:r>
                                <w:rPr>
                                  <w:rFonts w:ascii="Verdana" w:hAnsi="Verdana"/>
                                  <w:sz w:val="21"/>
                                  <w:szCs w:val="21"/>
                                </w:rPr>
                                <w:br/>
                                <w:t>•    Early Learning Centres;</w:t>
                              </w:r>
                              <w:r>
                                <w:rPr>
                                  <w:rFonts w:ascii="Verdana" w:hAnsi="Verdana"/>
                                  <w:sz w:val="21"/>
                                  <w:szCs w:val="21"/>
                                </w:rPr>
                                <w:br/>
                                <w:t>•    Primary Schools;</w:t>
                              </w:r>
                              <w:r>
                                <w:rPr>
                                  <w:rFonts w:ascii="Verdana" w:hAnsi="Verdana"/>
                                  <w:sz w:val="21"/>
                                  <w:szCs w:val="21"/>
                                </w:rPr>
                                <w:br/>
                              </w:r>
                              <w:r>
                                <w:rPr>
                                  <w:rFonts w:ascii="Verdana" w:hAnsi="Verdana"/>
                                  <w:sz w:val="21"/>
                                  <w:szCs w:val="21"/>
                                </w:rPr>
                                <w:lastRenderedPageBreak/>
                                <w:t>•    Secondary Schools; and</w:t>
                              </w:r>
                              <w:r>
                                <w:rPr>
                                  <w:rFonts w:ascii="Verdana" w:hAnsi="Verdana"/>
                                  <w:sz w:val="21"/>
                                  <w:szCs w:val="21"/>
                                </w:rPr>
                                <w:br/>
                                <w:t>•    Special Schools.</w:t>
                              </w:r>
                            </w:p>
                          </w:tc>
                        </w:tr>
                        <w:tr w:rsidR="00C97941">
                          <w:trPr>
                            <w:tblCellSpacing w:w="0" w:type="dxa"/>
                          </w:trPr>
                          <w:tc>
                            <w:tcPr>
                              <w:tcW w:w="0" w:type="auto"/>
                              <w:tcMar>
                                <w:top w:w="240" w:type="dxa"/>
                                <w:left w:w="240" w:type="dxa"/>
                                <w:bottom w:w="240" w:type="dxa"/>
                                <w:right w:w="240" w:type="dxa"/>
                              </w:tcMar>
                              <w:hideMark/>
                            </w:tcPr>
                            <w:p w:rsidR="00C97941" w:rsidRDefault="00C97941">
                              <w:pPr>
                                <w:rPr>
                                  <w:sz w:val="24"/>
                                  <w:szCs w:val="24"/>
                                </w:rPr>
                              </w:pPr>
                              <w:r>
                                <w:lastRenderedPageBreak/>
                                <w:t> </w:t>
                              </w:r>
                            </w:p>
                          </w:tc>
                        </w:tr>
                      </w:tbl>
                      <w:p w:rsidR="00C97941" w:rsidRDefault="00C97941">
                        <w:pPr>
                          <w:rPr>
                            <w:rFonts w:eastAsia="Times New Roman"/>
                            <w:sz w:val="20"/>
                            <w:szCs w:val="20"/>
                          </w:rPr>
                        </w:pPr>
                      </w:p>
                    </w:tc>
                    <w:tc>
                      <w:tcPr>
                        <w:tcW w:w="336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571"/>
                        </w:tblGrid>
                        <w:tr w:rsidR="00C97941">
                          <w:trPr>
                            <w:tblCellSpacing w:w="0" w:type="dxa"/>
                          </w:trPr>
                          <w:tc>
                            <w:tcPr>
                              <w:tcW w:w="0" w:type="auto"/>
                              <w:hideMark/>
                            </w:tcPr>
                            <w:p w:rsidR="00C97941" w:rsidRDefault="00C97941">
                              <w:pPr>
                                <w:pStyle w:val="Heading4"/>
                                <w:spacing w:before="0" w:beforeAutospacing="0" w:after="150" w:afterAutospacing="0" w:line="330" w:lineRule="atLeast"/>
                                <w:rPr>
                                  <w:rFonts w:ascii="Arial" w:eastAsia="Times New Roman" w:hAnsi="Arial" w:cs="Arial"/>
                                  <w:color w:val="202020"/>
                                  <w:sz w:val="33"/>
                                  <w:szCs w:val="33"/>
                                </w:rPr>
                              </w:pPr>
                              <w:r>
                                <w:rPr>
                                  <w:rFonts w:ascii="Arial" w:eastAsia="Times New Roman" w:hAnsi="Arial" w:cs="Arial"/>
                                  <w:noProof/>
                                  <w:color w:val="202020"/>
                                  <w:sz w:val="33"/>
                                  <w:szCs w:val="33"/>
                                </w:rPr>
                                <w:lastRenderedPageBreak/>
                                <w:drawing>
                                  <wp:inline distT="0" distB="0" distL="0" distR="0">
                                    <wp:extent cx="2665095" cy="2063115"/>
                                    <wp:effectExtent l="0" t="0" r="0" b="0"/>
                                    <wp:docPr id="4" name="Picture 4" descr="http://go.pardot.com/l/365911/2018-07-15/dxvvx/365911/26093/NEITA_EDM_Buttons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pardot.com/l/365911/2018-07-15/dxvvx/365911/26093/NEITA_EDM_Buttons_0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5095" cy="2063115"/>
                                            </a:xfrm>
                                            <a:prstGeom prst="rect">
                                              <a:avLst/>
                                            </a:prstGeom>
                                            <a:noFill/>
                                            <a:ln>
                                              <a:noFill/>
                                            </a:ln>
                                          </pic:spPr>
                                        </pic:pic>
                                      </a:graphicData>
                                    </a:graphic>
                                  </wp:inline>
                                </w:drawing>
                              </w:r>
                            </w:p>
                          </w:tc>
                        </w:tr>
                      </w:tbl>
                      <w:p w:rsidR="00C97941" w:rsidRDefault="00C97941">
                        <w:pPr>
                          <w:rPr>
                            <w:rFonts w:eastAsia="Times New Roman"/>
                            <w:sz w:val="20"/>
                            <w:szCs w:val="20"/>
                          </w:rPr>
                        </w:pPr>
                      </w:p>
                    </w:tc>
                    <w:tc>
                      <w:tcPr>
                        <w:tcW w:w="0" w:type="auto"/>
                        <w:vAlign w:val="center"/>
                        <w:hideMark/>
                      </w:tcPr>
                      <w:p w:rsidR="00C97941" w:rsidRDefault="00C97941">
                        <w:pPr>
                          <w:rPr>
                            <w:rFonts w:eastAsia="Times New Roman"/>
                            <w:sz w:val="20"/>
                            <w:szCs w:val="20"/>
                          </w:rPr>
                        </w:pPr>
                      </w:p>
                    </w:tc>
                  </w:tr>
                </w:tbl>
                <w:p w:rsidR="00C97941" w:rsidRDefault="00C97941">
                  <w:pPr>
                    <w:jc w:val="center"/>
                    <w:rPr>
                      <w:rFonts w:eastAsia="Times New Roman"/>
                      <w:sz w:val="20"/>
                      <w:szCs w:val="20"/>
                    </w:rPr>
                  </w:pPr>
                </w:p>
              </w:tc>
            </w:tr>
            <w:tr w:rsidR="00C97941">
              <w:trPr>
                <w:tblCellSpacing w:w="0" w:type="dxa"/>
                <w:jc w:val="center"/>
              </w:trPr>
              <w:tc>
                <w:tcPr>
                  <w:tcW w:w="0" w:type="auto"/>
                  <w:tcBorders>
                    <w:top w:val="nil"/>
                    <w:left w:val="nil"/>
                    <w:bottom w:val="nil"/>
                    <w:right w:val="nil"/>
                  </w:tcBorders>
                  <w:shd w:val="clear" w:color="auto" w:fill="FFFFFF"/>
                  <w:hideMark/>
                </w:tcPr>
                <w:tbl>
                  <w:tblPr>
                    <w:tblW w:w="7200" w:type="dxa"/>
                    <w:jc w:val="center"/>
                    <w:tblCellSpacing w:w="0" w:type="dxa"/>
                    <w:shd w:val="clear" w:color="auto" w:fill="FFFFFF"/>
                    <w:tblCellMar>
                      <w:left w:w="0" w:type="dxa"/>
                      <w:right w:w="0" w:type="dxa"/>
                    </w:tblCellMar>
                    <w:tblLook w:val="04A0" w:firstRow="1" w:lastRow="0" w:firstColumn="1" w:lastColumn="0" w:noHBand="0" w:noVBand="1"/>
                  </w:tblPr>
                  <w:tblGrid>
                    <w:gridCol w:w="7200"/>
                  </w:tblGrid>
                  <w:tr w:rsidR="00C97941">
                    <w:trPr>
                      <w:tblCellSpacing w:w="0" w:type="dxa"/>
                      <w:jc w:val="center"/>
                    </w:trPr>
                    <w:tc>
                      <w:tcPr>
                        <w:tcW w:w="0" w:type="auto"/>
                        <w:shd w:val="clear" w:color="auto" w:fill="FFFFFF"/>
                        <w:tcMar>
                          <w:top w:w="120" w:type="dxa"/>
                          <w:left w:w="120" w:type="dxa"/>
                          <w:bottom w:w="12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6960"/>
                        </w:tblGrid>
                        <w:tr w:rsidR="00C97941">
                          <w:trPr>
                            <w:tblCellSpacing w:w="0" w:type="dxa"/>
                          </w:trPr>
                          <w:tc>
                            <w:tcPr>
                              <w:tcW w:w="0" w:type="auto"/>
                              <w:shd w:val="clear" w:color="auto" w:fill="FAFAFA"/>
                              <w:tcMar>
                                <w:top w:w="120" w:type="dxa"/>
                                <w:left w:w="120" w:type="dxa"/>
                                <w:bottom w:w="120" w:type="dxa"/>
                                <w:right w:w="120" w:type="dxa"/>
                              </w:tcMar>
                              <w:vAlign w:val="center"/>
                              <w:hideMark/>
                            </w:tcPr>
                            <w:p w:rsidR="00C97941" w:rsidRDefault="00C97941">
                              <w:pPr>
                                <w:spacing w:line="225" w:lineRule="atLeast"/>
                                <w:jc w:val="center"/>
                                <w:rPr>
                                  <w:rFonts w:ascii="Arial" w:hAnsi="Arial" w:cs="Arial"/>
                                  <w:color w:val="707070"/>
                                  <w:sz w:val="18"/>
                                  <w:szCs w:val="18"/>
                                </w:rPr>
                              </w:pPr>
                              <w:r>
                                <w:rPr>
                                  <w:rStyle w:val="Strong"/>
                                  <w:rFonts w:ascii="Verdana" w:hAnsi="Verdana"/>
                                  <w:color w:val="707070"/>
                                </w:rPr>
                                <w:lastRenderedPageBreak/>
                                <w:t>What do you need to do? SPREAD THE WORD!</w:t>
                              </w:r>
                              <w:r>
                                <w:rPr>
                                  <w:rFonts w:ascii="Verdana" w:hAnsi="Verdana"/>
                                  <w:color w:val="707070"/>
                                </w:rPr>
                                <w:br/>
                              </w:r>
                              <w:r>
                                <w:rPr>
                                  <w:rFonts w:ascii="Verdana" w:hAnsi="Verdana"/>
                                  <w:color w:val="707070"/>
                                </w:rPr>
                                <w:br/>
                                <w:t xml:space="preserve">Pass this message on to your school communities. You can </w:t>
                              </w:r>
                              <w:hyperlink r:id="rId7" w:history="1">
                                <w:r>
                                  <w:rPr>
                                    <w:rStyle w:val="Hyperlink"/>
                                    <w:rFonts w:ascii="Verdana" w:hAnsi="Verdana"/>
                                  </w:rPr>
                                  <w:t>download the flyer</w:t>
                                </w:r>
                              </w:hyperlink>
                              <w:r>
                                <w:rPr>
                                  <w:rFonts w:ascii="Verdana" w:hAnsi="Verdana"/>
                                  <w:color w:val="707070"/>
                                </w:rPr>
                                <w:t xml:space="preserve"> and other </w:t>
                              </w:r>
                              <w:hyperlink r:id="rId8" w:history="1">
                                <w:r>
                                  <w:rPr>
                                    <w:rStyle w:val="Hyperlink"/>
                                    <w:rFonts w:ascii="Verdana" w:hAnsi="Verdana"/>
                                  </w:rPr>
                                  <w:t>promotional materials</w:t>
                                </w:r>
                              </w:hyperlink>
                              <w:r>
                                <w:rPr>
                                  <w:rFonts w:ascii="Verdana" w:hAnsi="Verdana"/>
                                  <w:color w:val="707070"/>
                                </w:rPr>
                                <w:t>. </w:t>
                              </w:r>
                              <w:r>
                                <w:rPr>
                                  <w:rFonts w:ascii="Verdana" w:hAnsi="Verdana"/>
                                  <w:color w:val="707070"/>
                                </w:rPr>
                                <w:br/>
                              </w:r>
                              <w:r>
                                <w:rPr>
                                  <w:rFonts w:ascii="Verdana" w:hAnsi="Verdana"/>
                                  <w:color w:val="707070"/>
                                </w:rPr>
                                <w:br/>
                                <w:t>Nominations close on 13 September.</w:t>
                              </w:r>
                              <w:r>
                                <w:rPr>
                                  <w:rFonts w:ascii="Arial" w:hAnsi="Arial" w:cs="Arial"/>
                                  <w:color w:val="707070"/>
                                  <w:sz w:val="18"/>
                                  <w:szCs w:val="18"/>
                                </w:rPr>
                                <w:br/>
                              </w:r>
                              <w:r>
                                <w:rPr>
                                  <w:rFonts w:ascii="Arial" w:hAnsi="Arial" w:cs="Arial"/>
                                  <w:color w:val="707070"/>
                                  <w:sz w:val="18"/>
                                  <w:szCs w:val="18"/>
                                </w:rPr>
                                <w:br/>
                              </w:r>
                              <w:r>
                                <w:rPr>
                                  <w:rFonts w:ascii="Arial" w:hAnsi="Arial" w:cs="Arial"/>
                                  <w:color w:val="707070"/>
                                  <w:sz w:val="18"/>
                                  <w:szCs w:val="18"/>
                                </w:rPr>
                                <w:br/>
                              </w:r>
                              <w:r>
                                <w:rPr>
                                  <w:rFonts w:ascii="Verdana" w:hAnsi="Verdana"/>
                                  <w:b/>
                                  <w:bCs/>
                                  <w:noProof/>
                                  <w:color w:val="0000FF"/>
                                  <w:sz w:val="33"/>
                                  <w:szCs w:val="33"/>
                                  <w:lang w:eastAsia="en-AU"/>
                                </w:rPr>
                                <w:drawing>
                                  <wp:inline distT="0" distB="0" distL="0" distR="0">
                                    <wp:extent cx="1711325" cy="398780"/>
                                    <wp:effectExtent l="0" t="0" r="3175" b="1270"/>
                                    <wp:docPr id="3" name="Picture 3" descr="http://go.pardot.com/l/365911/2018-07-15/dxvw6/365911/26097/NEITA_EDM_Buttons_2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o.pardot.com/l/365911/2018-07-15/dxvw6/365911/26097/NEITA_EDM_Buttons_2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325" cy="398780"/>
                                            </a:xfrm>
                                            <a:prstGeom prst="rect">
                                              <a:avLst/>
                                            </a:prstGeom>
                                            <a:noFill/>
                                            <a:ln>
                                              <a:noFill/>
                                            </a:ln>
                                          </pic:spPr>
                                        </pic:pic>
                                      </a:graphicData>
                                    </a:graphic>
                                  </wp:inline>
                                </w:drawing>
                              </w:r>
                              <w:r>
                                <w:rPr>
                                  <w:rFonts w:ascii="Arial" w:hAnsi="Arial" w:cs="Arial"/>
                                  <w:color w:val="707070"/>
                                  <w:sz w:val="18"/>
                                  <w:szCs w:val="18"/>
                                </w:rPr>
                                <w:br/>
                              </w:r>
                              <w:r>
                                <w:rPr>
                                  <w:rFonts w:ascii="Arial" w:hAnsi="Arial" w:cs="Arial"/>
                                  <w:color w:val="707070"/>
                                  <w:sz w:val="18"/>
                                  <w:szCs w:val="18"/>
                                </w:rPr>
                                <w:br/>
                              </w:r>
                              <w:r>
                                <w:rPr>
                                  <w:rFonts w:ascii="Arial" w:hAnsi="Arial" w:cs="Arial"/>
                                  <w:color w:val="707070"/>
                                  <w:sz w:val="18"/>
                                  <w:szCs w:val="18"/>
                                </w:rPr>
                                <w:br/>
                              </w:r>
                              <w:r>
                                <w:rPr>
                                  <w:rFonts w:ascii="Verdana" w:hAnsi="Verdana"/>
                                  <w:color w:val="707070"/>
                                  <w:sz w:val="21"/>
                                  <w:szCs w:val="21"/>
                                </w:rPr>
                                <w:t xml:space="preserve">The </w:t>
                              </w:r>
                              <w:proofErr w:type="spellStart"/>
                              <w:r>
                                <w:rPr>
                                  <w:rFonts w:ascii="Verdana" w:hAnsi="Verdana"/>
                                  <w:color w:val="707070"/>
                                  <w:sz w:val="21"/>
                                  <w:szCs w:val="21"/>
                                </w:rPr>
                                <w:t>NEiTA</w:t>
                              </w:r>
                              <w:proofErr w:type="spellEnd"/>
                              <w:r>
                                <w:rPr>
                                  <w:rFonts w:ascii="Verdana" w:hAnsi="Verdana"/>
                                  <w:color w:val="707070"/>
                                  <w:sz w:val="21"/>
                                  <w:szCs w:val="21"/>
                                </w:rPr>
                                <w:t xml:space="preserve"> </w:t>
                              </w:r>
                              <w:proofErr w:type="gramStart"/>
                              <w:r>
                                <w:rPr>
                                  <w:rFonts w:ascii="Verdana" w:hAnsi="Verdana"/>
                                  <w:color w:val="707070"/>
                                  <w:sz w:val="21"/>
                                  <w:szCs w:val="21"/>
                                </w:rPr>
                                <w:t>awards recognises</w:t>
                              </w:r>
                              <w:proofErr w:type="gramEnd"/>
                              <w:r>
                                <w:rPr>
                                  <w:rFonts w:ascii="Verdana" w:hAnsi="Verdana"/>
                                  <w:color w:val="707070"/>
                                  <w:sz w:val="21"/>
                                  <w:szCs w:val="21"/>
                                </w:rPr>
                                <w:t xml:space="preserve"> the importance of the profession, its professional standards and the critical role and impact teachers have on young people’s lives. </w:t>
                              </w:r>
                              <w:r>
                                <w:rPr>
                                  <w:rFonts w:ascii="Verdana" w:hAnsi="Verdana"/>
                                  <w:color w:val="707070"/>
                                  <w:sz w:val="21"/>
                                  <w:szCs w:val="21"/>
                                </w:rPr>
                                <w:br/>
                              </w:r>
                              <w:r>
                                <w:rPr>
                                  <w:rFonts w:ascii="Verdana" w:hAnsi="Verdana"/>
                                  <w:color w:val="707070"/>
                                  <w:sz w:val="21"/>
                                  <w:szCs w:val="21"/>
                                </w:rPr>
                                <w:br/>
                              </w:r>
                              <w:proofErr w:type="spellStart"/>
                              <w:r>
                                <w:rPr>
                                  <w:rFonts w:ascii="Verdana" w:hAnsi="Verdana"/>
                                  <w:color w:val="707070"/>
                                  <w:sz w:val="21"/>
                                  <w:szCs w:val="21"/>
                                </w:rPr>
                                <w:t>NEiTA</w:t>
                              </w:r>
                              <w:proofErr w:type="spellEnd"/>
                              <w:r>
                                <w:rPr>
                                  <w:rFonts w:ascii="Verdana" w:hAnsi="Verdana"/>
                                  <w:color w:val="707070"/>
                                  <w:sz w:val="21"/>
                                  <w:szCs w:val="21"/>
                                </w:rPr>
                                <w:t xml:space="preserve"> is Australia and New Zealand’s only community centred teaching awards program. Teacher nominations must meet eligibility guidelines and criteria, and are submitted by school parents, school councils, </w:t>
                              </w:r>
                              <w:proofErr w:type="gramStart"/>
                              <w:r>
                                <w:rPr>
                                  <w:rFonts w:ascii="Verdana" w:hAnsi="Verdana"/>
                                  <w:color w:val="707070"/>
                                  <w:sz w:val="21"/>
                                  <w:szCs w:val="21"/>
                                </w:rPr>
                                <w:t>parent</w:t>
                              </w:r>
                              <w:proofErr w:type="gramEnd"/>
                              <w:r>
                                <w:rPr>
                                  <w:rFonts w:ascii="Verdana" w:hAnsi="Verdana"/>
                                  <w:color w:val="707070"/>
                                  <w:sz w:val="21"/>
                                  <w:szCs w:val="21"/>
                                </w:rPr>
                                <w:t xml:space="preserve"> associations, committees of management, secondary student councils, and community organisations. They are then assessed by an expert panel of educationalists in a two staged process.</w:t>
                              </w:r>
                              <w:r>
                                <w:rPr>
                                  <w:rFonts w:ascii="Arial" w:hAnsi="Arial" w:cs="Arial"/>
                                  <w:color w:val="707070"/>
                                  <w:sz w:val="18"/>
                                  <w:szCs w:val="18"/>
                                </w:rPr>
                                <w:br/>
                                <w:t> </w:t>
                              </w:r>
                            </w:p>
                          </w:tc>
                        </w:tr>
                        <w:tr w:rsidR="00C97941">
                          <w:trPr>
                            <w:tblCellSpacing w:w="0" w:type="dxa"/>
                          </w:trPr>
                          <w:tc>
                            <w:tcPr>
                              <w:tcW w:w="0" w:type="auto"/>
                              <w:shd w:val="clear" w:color="auto" w:fill="FFFFFF"/>
                              <w:tcMar>
                                <w:top w:w="120" w:type="dxa"/>
                                <w:left w:w="120" w:type="dxa"/>
                                <w:bottom w:w="120" w:type="dxa"/>
                                <w:right w:w="120" w:type="dxa"/>
                              </w:tcMar>
                              <w:vAlign w:val="center"/>
                              <w:hideMark/>
                            </w:tcPr>
                            <w:p w:rsidR="00C97941" w:rsidRDefault="00C97941">
                              <w:pPr>
                                <w:spacing w:line="225" w:lineRule="atLeast"/>
                                <w:jc w:val="center"/>
                                <w:rPr>
                                  <w:rFonts w:ascii="Arial" w:hAnsi="Arial" w:cs="Arial"/>
                                  <w:color w:val="707070"/>
                                  <w:sz w:val="18"/>
                                  <w:szCs w:val="18"/>
                                </w:rPr>
                              </w:pPr>
                              <w:hyperlink r:id="rId11" w:history="1">
                                <w:r>
                                  <w:rPr>
                                    <w:rStyle w:val="Hyperlink"/>
                                    <w:rFonts w:ascii="Verdana" w:hAnsi="Verdana"/>
                                    <w:color w:val="336699"/>
                                    <w:sz w:val="15"/>
                                    <w:szCs w:val="15"/>
                                  </w:rPr>
                                  <w:t>unsubscribe</w:t>
                                </w:r>
                              </w:hyperlink>
                              <w:r>
                                <w:rPr>
                                  <w:rFonts w:ascii="Verdana" w:hAnsi="Verdana"/>
                                  <w:color w:val="707070"/>
                                  <w:sz w:val="15"/>
                                  <w:szCs w:val="15"/>
                                </w:rPr>
                                <w:t> | </w:t>
                              </w:r>
                              <w:hyperlink r:id="rId12" w:history="1">
                                <w:r>
                                  <w:rPr>
                                    <w:rStyle w:val="Hyperlink"/>
                                    <w:rFonts w:ascii="Verdana" w:hAnsi="Verdana"/>
                                    <w:sz w:val="15"/>
                                    <w:szCs w:val="15"/>
                                  </w:rPr>
                                  <w:t>Contact ASG</w:t>
                                </w:r>
                              </w:hyperlink>
                              <w:r>
                                <w:rPr>
                                  <w:rFonts w:ascii="Verdana" w:hAnsi="Verdana"/>
                                  <w:color w:val="707070"/>
                                  <w:sz w:val="15"/>
                                  <w:szCs w:val="15"/>
                                </w:rPr>
                                <w:t> | </w:t>
                              </w:r>
                              <w:hyperlink r:id="rId13" w:history="1">
                                <w:r>
                                  <w:rPr>
                                    <w:rStyle w:val="Hyperlink"/>
                                    <w:rFonts w:ascii="Verdana" w:hAnsi="Verdana"/>
                                    <w:sz w:val="15"/>
                                    <w:szCs w:val="15"/>
                                  </w:rPr>
                                  <w:t>Privacy</w:t>
                                </w:r>
                              </w:hyperlink>
                              <w:r>
                                <w:rPr>
                                  <w:rFonts w:ascii="Arial" w:hAnsi="Arial" w:cs="Arial"/>
                                  <w:color w:val="707070"/>
                                  <w:sz w:val="18"/>
                                  <w:szCs w:val="18"/>
                                </w:rPr>
                                <w:br/>
                              </w:r>
                              <w:r>
                                <w:rPr>
                                  <w:rFonts w:ascii="Arial" w:hAnsi="Arial" w:cs="Arial"/>
                                  <w:color w:val="707070"/>
                                  <w:sz w:val="15"/>
                                  <w:szCs w:val="15"/>
                                </w:rPr>
                                <w:t>Australian Scholarships Group Friendly Society Limited</w:t>
                              </w:r>
                              <w:r>
                                <w:rPr>
                                  <w:rFonts w:ascii="Arial" w:hAnsi="Arial" w:cs="Arial"/>
                                  <w:color w:val="707070"/>
                                  <w:sz w:val="15"/>
                                  <w:szCs w:val="15"/>
                                </w:rPr>
                                <w:br/>
                                <w:t>ABN 21 087 648 879 AFS Licence No 236665</w:t>
                              </w:r>
                              <w:r>
                                <w:rPr>
                                  <w:rFonts w:ascii="Arial" w:hAnsi="Arial" w:cs="Arial"/>
                                  <w:color w:val="707070"/>
                                  <w:sz w:val="15"/>
                                  <w:szCs w:val="15"/>
                                </w:rPr>
                                <w:br/>
                                <w:t>Registered Office: 23-35 Hanover Street Oakleigh Victoria 3166 Phone: 131 ASG (131 274)</w:t>
                              </w:r>
                              <w:r>
                                <w:rPr>
                                  <w:rFonts w:ascii="Arial" w:hAnsi="Arial" w:cs="Arial"/>
                                  <w:color w:val="707070"/>
                                  <w:sz w:val="15"/>
                                  <w:szCs w:val="15"/>
                                </w:rPr>
                                <w:br/>
                              </w:r>
                              <w:r>
                                <w:rPr>
                                  <w:rFonts w:ascii="Arial" w:hAnsi="Arial" w:cs="Arial"/>
                                  <w:color w:val="707070"/>
                                  <w:sz w:val="15"/>
                                  <w:szCs w:val="15"/>
                                </w:rPr>
                                <w:br/>
                                <w:t>The Australian Scholarships Group (ASG) collects and uses personal information for a number of purposes, functions and activities including the supply of memberships, products and services and the management of leads and referrals. ASG does so in accordance with its Privacy Policy and the Australian Privacy Principles. For more details on our privacy processes and to view our privacy policy, please visit </w:t>
                              </w:r>
                              <w:hyperlink r:id="rId14" w:history="1">
                                <w:r>
                                  <w:rPr>
                                    <w:rStyle w:val="Hyperlink"/>
                                    <w:rFonts w:ascii="Arial" w:hAnsi="Arial" w:cs="Arial"/>
                                    <w:sz w:val="15"/>
                                    <w:szCs w:val="15"/>
                                  </w:rPr>
                                  <w:t>www.asg.com.au/privacy</w:t>
                                </w:r>
                              </w:hyperlink>
                            </w:p>
                          </w:tc>
                        </w:tr>
                      </w:tbl>
                      <w:p w:rsidR="00C97941" w:rsidRDefault="00C97941">
                        <w:pPr>
                          <w:rPr>
                            <w:rFonts w:eastAsia="Times New Roman"/>
                            <w:sz w:val="20"/>
                            <w:szCs w:val="20"/>
                          </w:rPr>
                        </w:pPr>
                      </w:p>
                    </w:tc>
                  </w:tr>
                </w:tbl>
                <w:p w:rsidR="00C97941" w:rsidRDefault="00C97941">
                  <w:pPr>
                    <w:jc w:val="center"/>
                    <w:rPr>
                      <w:rFonts w:eastAsia="Times New Roman"/>
                      <w:sz w:val="20"/>
                      <w:szCs w:val="20"/>
                    </w:rPr>
                  </w:pPr>
                </w:p>
              </w:tc>
            </w:tr>
          </w:tbl>
          <w:p w:rsidR="00C97941" w:rsidRDefault="00C97941">
            <w:pPr>
              <w:jc w:val="center"/>
              <w:rPr>
                <w:rFonts w:eastAsia="Times New Roman"/>
                <w:sz w:val="24"/>
                <w:szCs w:val="24"/>
              </w:rPr>
            </w:pPr>
          </w:p>
        </w:tc>
      </w:tr>
    </w:tbl>
    <w:p w:rsidR="00C97941" w:rsidRDefault="00C97941" w:rsidP="00C97941">
      <w:r>
        <w:rPr>
          <w:noProof/>
          <w:lang w:eastAsia="en-AU"/>
        </w:rPr>
        <w:lastRenderedPageBreak/>
        <w:drawing>
          <wp:inline distT="0" distB="0" distL="0" distR="0">
            <wp:extent cx="7620" cy="7620"/>
            <wp:effectExtent l="0" t="0" r="0" b="0"/>
            <wp:docPr id="2" name="Picture 2" descr="http://go.pardot.com/r/365911/1/125796583/op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o.pardot.com/r/365911/1/125796583/open/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C97941" w:rsidRDefault="00C97941"/>
    <w:sectPr w:rsidR="00C97941" w:rsidSect="00C97941">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41"/>
    <w:rsid w:val="003645CE"/>
    <w:rsid w:val="00C979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unhideWhenUsed/>
    <w:qFormat/>
    <w:rsid w:val="00C97941"/>
    <w:pPr>
      <w:spacing w:before="100" w:beforeAutospacing="1" w:after="100" w:afterAutospacing="1" w:line="240" w:lineRule="auto"/>
      <w:outlineLvl w:val="3"/>
    </w:pPr>
    <w:rPr>
      <w:rFonts w:ascii="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7941"/>
    <w:rPr>
      <w:color w:val="0000FF"/>
      <w:u w:val="single"/>
    </w:rPr>
  </w:style>
  <w:style w:type="paragraph" w:styleId="BalloonText">
    <w:name w:val="Balloon Text"/>
    <w:basedOn w:val="Normal"/>
    <w:link w:val="BalloonTextChar"/>
    <w:uiPriority w:val="99"/>
    <w:semiHidden/>
    <w:unhideWhenUsed/>
    <w:rsid w:val="00C97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941"/>
    <w:rPr>
      <w:rFonts w:ascii="Tahoma" w:hAnsi="Tahoma" w:cs="Tahoma"/>
      <w:sz w:val="16"/>
      <w:szCs w:val="16"/>
    </w:rPr>
  </w:style>
  <w:style w:type="character" w:customStyle="1" w:styleId="Heading4Char">
    <w:name w:val="Heading 4 Char"/>
    <w:basedOn w:val="DefaultParagraphFont"/>
    <w:link w:val="Heading4"/>
    <w:uiPriority w:val="9"/>
    <w:rsid w:val="00C97941"/>
    <w:rPr>
      <w:rFonts w:ascii="Times New Roman" w:hAnsi="Times New Roman" w:cs="Times New Roman"/>
      <w:b/>
      <w:bCs/>
      <w:sz w:val="24"/>
      <w:szCs w:val="24"/>
      <w:lang w:eastAsia="en-AU"/>
    </w:rPr>
  </w:style>
  <w:style w:type="character" w:styleId="Strong">
    <w:name w:val="Strong"/>
    <w:basedOn w:val="DefaultParagraphFont"/>
    <w:uiPriority w:val="22"/>
    <w:qFormat/>
    <w:rsid w:val="00C979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unhideWhenUsed/>
    <w:qFormat/>
    <w:rsid w:val="00C97941"/>
    <w:pPr>
      <w:spacing w:before="100" w:beforeAutospacing="1" w:after="100" w:afterAutospacing="1" w:line="240" w:lineRule="auto"/>
      <w:outlineLvl w:val="3"/>
    </w:pPr>
    <w:rPr>
      <w:rFonts w:ascii="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7941"/>
    <w:rPr>
      <w:color w:val="0000FF"/>
      <w:u w:val="single"/>
    </w:rPr>
  </w:style>
  <w:style w:type="paragraph" w:styleId="BalloonText">
    <w:name w:val="Balloon Text"/>
    <w:basedOn w:val="Normal"/>
    <w:link w:val="BalloonTextChar"/>
    <w:uiPriority w:val="99"/>
    <w:semiHidden/>
    <w:unhideWhenUsed/>
    <w:rsid w:val="00C97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941"/>
    <w:rPr>
      <w:rFonts w:ascii="Tahoma" w:hAnsi="Tahoma" w:cs="Tahoma"/>
      <w:sz w:val="16"/>
      <w:szCs w:val="16"/>
    </w:rPr>
  </w:style>
  <w:style w:type="character" w:customStyle="1" w:styleId="Heading4Char">
    <w:name w:val="Heading 4 Char"/>
    <w:basedOn w:val="DefaultParagraphFont"/>
    <w:link w:val="Heading4"/>
    <w:uiPriority w:val="9"/>
    <w:rsid w:val="00C97941"/>
    <w:rPr>
      <w:rFonts w:ascii="Times New Roman" w:hAnsi="Times New Roman" w:cs="Times New Roman"/>
      <w:b/>
      <w:bCs/>
      <w:sz w:val="24"/>
      <w:szCs w:val="24"/>
      <w:lang w:eastAsia="en-AU"/>
    </w:rPr>
  </w:style>
  <w:style w:type="character" w:styleId="Strong">
    <w:name w:val="Strong"/>
    <w:basedOn w:val="DefaultParagraphFont"/>
    <w:uiPriority w:val="22"/>
    <w:qFormat/>
    <w:rsid w:val="00C97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c01.safelinks.protection.outlook.com/?url=http%3A%2F%2Fgo.pardot.com%2Fe%2F365911%2Fta-neita-resources-for-schools%2Ffxzy8%2F125796583&amp;data=02%7C01%7CDonna.Mcdonald%40education.wa.edu.au%7C1cbb6bedd2df459e92f808d60e4f4e8f%7Ce08016f9d1fd4cbb83b0b76eb4361627%7C0%7C0%7C636712131114572933&amp;sdata=%2FLsvyDaj4XKJM%2B0nPDQeC1jm%2BjI8vWd5m1n3PnRpiqI%3D&amp;reserved=0" TargetMode="External"/><Relationship Id="rId13" Type="http://schemas.openxmlformats.org/officeDocument/2006/relationships/hyperlink" Target="https://apac01.safelinks.protection.outlook.com/?url=http%3A%2F%2Fgo.pardot.com%2Fe%2F365911%2Fprivacy%2Ffxzyj%2F125796583&amp;data=02%7C01%7CDonna.Mcdonald%40education.wa.edu.au%7C1cbb6bedd2df459e92f808d60e4f4e8f%7Ce08016f9d1fd4cbb83b0b76eb4361627%7C0%7C0%7C636712131114572933&amp;sdata=dzYTrKEEU7%2FQbBUh%2B8LcESXFWaplZxzm4cnEFtVSzHA%3D&amp;reserved=0" TargetMode="External"/><Relationship Id="rId3" Type="http://schemas.openxmlformats.org/officeDocument/2006/relationships/settings" Target="settings.xml"/><Relationship Id="rId7" Type="http://schemas.openxmlformats.org/officeDocument/2006/relationships/hyperlink" Target="https://apac01.safelinks.protection.outlook.com/?url=http%3A%2F%2Fgo.pardot.com%2Fe%2F365911%2Fita-low-res-flyer-pdf-sfvrsn-2%2Ffxzyd%2F125796583&amp;data=02%7C01%7CDonna.Mcdonald%40education.wa.edu.au%7C1cbb6bedd2df459e92f808d60e4f4e8f%7Ce08016f9d1fd4cbb83b0b76eb4361627%7C0%7C0%7C636712131114572933&amp;sdata=xzxV%2ByEBs7mBVZPZrDz8UcZmP2XJHFKETU%2FyOu9LFtk%3D&amp;reserved=0" TargetMode="External"/><Relationship Id="rId12" Type="http://schemas.openxmlformats.org/officeDocument/2006/relationships/hyperlink" Target="https://apac01.safelinks.protection.outlook.com/?url=http%3A%2F%2Fgo.pardot.com%2Fe%2F365911%2Fcontact-us%2Ffxzyg%2F125796583&amp;data=02%7C01%7CDonna.Mcdonald%40education.wa.edu.au%7C1cbb6bedd2df459e92f808d60e4f4e8f%7Ce08016f9d1fd4cbb83b0b76eb4361627%7C0%7C0%7C636712131114572933&amp;sdata=pPiPtZyKDdLwokAXz7Ztc%2FBy%2B1y8oDal29PB%2FYr3uNs%3D&amp;reserved=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apac01.safelinks.protection.outlook.com/?url=http%3A%2F%2Fgo.pardot.com%2Funsubscribe%2Fu%2F365911%2Fbe176df6b85854b676dda11a1551f9fb3222ab347aec06001d2b51c359152b0d%2F125796583&amp;data=02%7C01%7CDonna.Mcdonald%40education.wa.edu.au%7C1cbb6bedd2df459e92f808d60e4f4e8f%7Ce08016f9d1fd4cbb83b0b76eb4361627%7C0%7C0%7C636712131114572933&amp;sdata=yJH75KqloJodfteXlUe32nOhmh8%2B3%2Bip9HN00zoCHrc%3D&amp;reserved=0" TargetMode="External"/><Relationship Id="rId5" Type="http://schemas.openxmlformats.org/officeDocument/2006/relationships/image" Target="media/image1.png"/><Relationship Id="rId15" Type="http://schemas.openxmlformats.org/officeDocument/2006/relationships/image" Target="media/image4.gi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apac01.safelinks.protection.outlook.com/?url=http%3A%2F%2Fgo.pardot.com%2Fe%2F365911%2F2018-08-30%2Ffxzyb%2F125796583&amp;data=02%7C01%7CDonna.Mcdonald%40education.wa.edu.au%7C1cbb6bedd2df459e92f808d60e4f4e8f%7Ce08016f9d1fd4cbb83b0b76eb4361627%7C0%7C0%7C636712131114572933&amp;sdata=Jic%2Fm48y%2FksNBjvmXTETyyQeEbJhANKznUrw%2FWvOR4Y%3D&amp;reserved=0" TargetMode="External"/><Relationship Id="rId14" Type="http://schemas.openxmlformats.org/officeDocument/2006/relationships/hyperlink" Target="https://apac01.safelinks.protection.outlook.com/?url=http%3A%2F%2Fgo.pardot.com%2Fe%2F365911%2Fprivacy%2Ffxzyl%2F125796583&amp;data=02%7C01%7CDonna.Mcdonald%40education.wa.edu.au%7C1cbb6bedd2df459e92f808d60e4f4e8f%7Ce08016f9d1fd4cbb83b0b76eb4361627%7C0%7C0%7C636712131114572933&amp;sdata=0DI76bQ7%2Bl8g8Rw7T%2FGHEwzu4JEtMGV5bDELqN2%2Boj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55199BB2</Template>
  <TotalTime>9</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Sharon</dc:creator>
  <cp:lastModifiedBy>BRADY Sharon</cp:lastModifiedBy>
  <cp:revision>1</cp:revision>
  <dcterms:created xsi:type="dcterms:W3CDTF">2018-08-31T07:16:00Z</dcterms:created>
  <dcterms:modified xsi:type="dcterms:W3CDTF">2018-08-31T07:25:00Z</dcterms:modified>
</cp:coreProperties>
</file>